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FD73" w14:textId="00080FBF" w:rsidR="00BE3B53" w:rsidRPr="00265C5C" w:rsidRDefault="0058128A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  <w:lang w:val="sk-SK"/>
        </w:rPr>
      </w:pPr>
      <w:bookmarkStart w:id="0" w:name="_Hlk123805937"/>
      <w:bookmarkStart w:id="1" w:name="_Hlk527979803"/>
      <w:r w:rsidRPr="00265C5C">
        <w:rPr>
          <w:b/>
          <w:bCs/>
          <w:sz w:val="28"/>
          <w:szCs w:val="28"/>
          <w:lang w:val="sk-SK"/>
        </w:rPr>
        <w:t xml:space="preserve">Prvá logistická hala v </w:t>
      </w:r>
      <w:proofErr w:type="spellStart"/>
      <w:r w:rsidRPr="00265C5C">
        <w:rPr>
          <w:b/>
          <w:bCs/>
          <w:sz w:val="28"/>
          <w:szCs w:val="28"/>
          <w:lang w:val="sk-SK"/>
        </w:rPr>
        <w:t>Panattoni</w:t>
      </w:r>
      <w:proofErr w:type="spellEnd"/>
      <w:r w:rsidRPr="00265C5C">
        <w:rPr>
          <w:b/>
          <w:bCs/>
          <w:sz w:val="28"/>
          <w:szCs w:val="28"/>
          <w:lang w:val="sk-SK"/>
        </w:rPr>
        <w:t xml:space="preserve"> Park Bratislava North II je hotová</w:t>
      </w:r>
    </w:p>
    <w:p w14:paraId="47C609CF" w14:textId="77777777" w:rsidR="0058128A" w:rsidRPr="00265C5C" w:rsidRDefault="0058128A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  <w:lang w:val="sk-SK"/>
        </w:rPr>
      </w:pPr>
    </w:p>
    <w:p w14:paraId="156839BE" w14:textId="20067FC6" w:rsidR="0058128A" w:rsidRPr="00265C5C" w:rsidRDefault="00BE3B53" w:rsidP="0018667F">
      <w:pPr>
        <w:pStyle w:val="Zkladntext31"/>
        <w:spacing w:line="240" w:lineRule="auto"/>
        <w:rPr>
          <w:b/>
          <w:bCs/>
          <w:lang w:val="sk-SK"/>
        </w:rPr>
      </w:pPr>
      <w:r w:rsidRPr="00265C5C">
        <w:rPr>
          <w:lang w:val="sk-SK"/>
        </w:rPr>
        <w:t>Bratislava</w:t>
      </w:r>
      <w:r w:rsidR="00305C46" w:rsidRPr="00265C5C">
        <w:rPr>
          <w:lang w:val="sk-SK"/>
        </w:rPr>
        <w:t xml:space="preserve">, </w:t>
      </w:r>
      <w:r w:rsidR="0018667F">
        <w:rPr>
          <w:lang w:val="sk-SK"/>
        </w:rPr>
        <w:t>23</w:t>
      </w:r>
      <w:r w:rsidR="00305C46" w:rsidRPr="00265C5C">
        <w:rPr>
          <w:lang w:val="sk-SK"/>
        </w:rPr>
        <w:t xml:space="preserve">. </w:t>
      </w:r>
      <w:r w:rsidR="0018667F">
        <w:rPr>
          <w:lang w:val="sk-SK"/>
        </w:rPr>
        <w:t>apríla</w:t>
      </w:r>
      <w:r w:rsidR="00305C46" w:rsidRPr="00265C5C">
        <w:rPr>
          <w:lang w:val="sk-SK"/>
        </w:rPr>
        <w:t xml:space="preserve"> 202</w:t>
      </w:r>
      <w:r w:rsidR="00E9717C" w:rsidRPr="00265C5C">
        <w:rPr>
          <w:lang w:val="sk-SK"/>
        </w:rPr>
        <w:t>5</w:t>
      </w:r>
      <w:r w:rsidR="00305C46" w:rsidRPr="00265C5C">
        <w:rPr>
          <w:lang w:val="sk-SK"/>
        </w:rPr>
        <w:t xml:space="preserve"> – </w:t>
      </w:r>
      <w:bookmarkStart w:id="2" w:name="_Hlk182826925"/>
      <w:r w:rsidR="0058128A" w:rsidRPr="00265C5C">
        <w:rPr>
          <w:b/>
          <w:bCs/>
          <w:lang w:val="sk-SK"/>
        </w:rPr>
        <w:t xml:space="preserve">Stavebná spoločnosť HSF System SK, súčasť investičnej skupiny PURPOSIA Group, dokončila generálnu dodávku prvého objektu logistického a konsignačného centra v priemyselnom areáli </w:t>
      </w:r>
      <w:proofErr w:type="spellStart"/>
      <w:r w:rsidR="0058128A" w:rsidRPr="00265C5C">
        <w:rPr>
          <w:b/>
          <w:bCs/>
          <w:lang w:val="sk-SK"/>
        </w:rPr>
        <w:t>Panattoni</w:t>
      </w:r>
      <w:proofErr w:type="spellEnd"/>
      <w:r w:rsidR="0058128A" w:rsidRPr="00265C5C">
        <w:rPr>
          <w:b/>
          <w:bCs/>
          <w:lang w:val="sk-SK"/>
        </w:rPr>
        <w:t xml:space="preserve"> Park Bratislava North II. </w:t>
      </w:r>
      <w:r w:rsidR="00DB484E">
        <w:rPr>
          <w:b/>
          <w:bCs/>
          <w:lang w:val="sk-SK"/>
        </w:rPr>
        <w:t>Developer</w:t>
      </w:r>
      <w:r w:rsidR="00F07C2D">
        <w:rPr>
          <w:b/>
          <w:bCs/>
          <w:lang w:val="sk-SK"/>
        </w:rPr>
        <w:t>o</w:t>
      </w:r>
      <w:r w:rsidR="00DB484E">
        <w:rPr>
          <w:b/>
          <w:bCs/>
          <w:lang w:val="sk-SK"/>
        </w:rPr>
        <w:t>m</w:t>
      </w:r>
      <w:r w:rsidR="00DB484E" w:rsidRPr="00265C5C">
        <w:rPr>
          <w:b/>
          <w:bCs/>
          <w:lang w:val="sk-SK"/>
        </w:rPr>
        <w:t xml:space="preserve"> </w:t>
      </w:r>
      <w:r w:rsidR="0058128A" w:rsidRPr="00265C5C">
        <w:rPr>
          <w:b/>
          <w:bCs/>
          <w:lang w:val="sk-SK"/>
        </w:rPr>
        <w:t>projektu je</w:t>
      </w:r>
      <w:r w:rsidR="00DB484E">
        <w:rPr>
          <w:b/>
          <w:bCs/>
          <w:lang w:val="sk-SK"/>
        </w:rPr>
        <w:t xml:space="preserve"> spol</w:t>
      </w:r>
      <w:r w:rsidR="00F07C2D">
        <w:rPr>
          <w:b/>
          <w:bCs/>
          <w:lang w:val="sk-SK"/>
        </w:rPr>
        <w:t>o</w:t>
      </w:r>
      <w:r w:rsidR="00DB484E">
        <w:rPr>
          <w:b/>
          <w:bCs/>
          <w:lang w:val="sk-SK"/>
        </w:rPr>
        <w:t>čnos</w:t>
      </w:r>
      <w:r w:rsidR="00F07C2D">
        <w:rPr>
          <w:b/>
          <w:bCs/>
          <w:lang w:val="sk-SK"/>
        </w:rPr>
        <w:t>ť</w:t>
      </w:r>
      <w:r w:rsidR="00DB484E">
        <w:rPr>
          <w:b/>
          <w:bCs/>
          <w:lang w:val="sk-SK"/>
        </w:rPr>
        <w:t xml:space="preserve"> </w:t>
      </w:r>
      <w:proofErr w:type="spellStart"/>
      <w:r w:rsidR="00DB484E">
        <w:rPr>
          <w:b/>
          <w:bCs/>
          <w:lang w:val="sk-SK"/>
        </w:rPr>
        <w:t>Panattoni</w:t>
      </w:r>
      <w:proofErr w:type="spellEnd"/>
      <w:r w:rsidR="00DB484E">
        <w:rPr>
          <w:b/>
          <w:bCs/>
          <w:lang w:val="sk-SK"/>
        </w:rPr>
        <w:t>, investor</w:t>
      </w:r>
      <w:r w:rsidR="00F07C2D">
        <w:rPr>
          <w:b/>
          <w:bCs/>
          <w:lang w:val="sk-SK"/>
        </w:rPr>
        <w:t>o</w:t>
      </w:r>
      <w:r w:rsidR="00DB484E">
        <w:rPr>
          <w:b/>
          <w:bCs/>
          <w:lang w:val="sk-SK"/>
        </w:rPr>
        <w:t>m</w:t>
      </w:r>
      <w:r w:rsidR="0058128A" w:rsidRPr="00265C5C">
        <w:rPr>
          <w:b/>
          <w:bCs/>
          <w:lang w:val="sk-SK"/>
        </w:rPr>
        <w:t xml:space="preserve">  skupina </w:t>
      </w:r>
      <w:proofErr w:type="spellStart"/>
      <w:r w:rsidR="0058128A" w:rsidRPr="00265C5C">
        <w:rPr>
          <w:b/>
          <w:bCs/>
          <w:lang w:val="sk-SK"/>
        </w:rPr>
        <w:t>Accolade</w:t>
      </w:r>
      <w:proofErr w:type="spellEnd"/>
      <w:r w:rsidR="0058128A" w:rsidRPr="00265C5C">
        <w:rPr>
          <w:b/>
          <w:bCs/>
          <w:lang w:val="sk-SK"/>
        </w:rPr>
        <w:t xml:space="preserve">. Výstavba prebiehala od februára 2024 do februára 2025. </w:t>
      </w:r>
    </w:p>
    <w:p w14:paraId="45D66950" w14:textId="47B53EC5" w:rsidR="00F04B68" w:rsidRPr="00265C5C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  <w:r w:rsidRPr="00265C5C">
        <w:rPr>
          <w:lang w:val="sk-SK"/>
        </w:rPr>
        <w:t xml:space="preserve">Prvý dokončený objekt v priemyselnom areáli </w:t>
      </w:r>
      <w:proofErr w:type="spellStart"/>
      <w:r w:rsidRPr="00265C5C">
        <w:rPr>
          <w:lang w:val="sk-SK"/>
        </w:rPr>
        <w:t>Panattoni</w:t>
      </w:r>
      <w:proofErr w:type="spellEnd"/>
      <w:r w:rsidRPr="00265C5C">
        <w:rPr>
          <w:lang w:val="sk-SK"/>
        </w:rPr>
        <w:t xml:space="preserve"> Park Bratislava North II, jednopodlažný so štyrmi</w:t>
      </w:r>
      <w:r w:rsidR="00577110">
        <w:rPr>
          <w:lang w:val="sk-SK"/>
        </w:rPr>
        <w:t xml:space="preserve"> </w:t>
      </w:r>
      <w:proofErr w:type="spellStart"/>
      <w:r w:rsidR="00577110">
        <w:rPr>
          <w:lang w:val="sk-SK"/>
        </w:rPr>
        <w:t>vstavkami</w:t>
      </w:r>
      <w:proofErr w:type="spellEnd"/>
      <w:r w:rsidRPr="00265C5C">
        <w:rPr>
          <w:lang w:val="sk-SK"/>
        </w:rPr>
        <w:t xml:space="preserve">, ponúka 23 455,09 m² skladovacích a administratívnych priestorov. Celkové rozmery haly sú 334,4 m × 70,8 m. Výška objektu je 12,4 m. Generálnym dodávateľom výstavby prvého objektu bola stavebná spoločnosť HSF System SK, patriaca </w:t>
      </w:r>
      <w:r w:rsidR="003374DE">
        <w:rPr>
          <w:lang w:val="sk-SK"/>
        </w:rPr>
        <w:br/>
      </w:r>
      <w:r w:rsidRPr="00265C5C">
        <w:rPr>
          <w:lang w:val="sk-SK"/>
        </w:rPr>
        <w:t>do medzinárodnej stavebnej skupiny HSF System.</w:t>
      </w:r>
    </w:p>
    <w:p w14:paraId="748BE5F6" w14:textId="77777777" w:rsidR="0058128A" w:rsidRPr="00265C5C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</w:p>
    <w:p w14:paraId="2C4B1F55" w14:textId="241B7C85" w:rsidR="0058128A" w:rsidRPr="00265C5C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  <w:r w:rsidRPr="00265C5C">
        <w:rPr>
          <w:lang w:val="sk-SK"/>
        </w:rPr>
        <w:t>Projekt bol realizovaný s dôrazom na splnenie prísnych ekologických štandardov a podmienok certifikácie BREEAM New Construction na úrovni „</w:t>
      </w:r>
      <w:proofErr w:type="spellStart"/>
      <w:r w:rsidRPr="00265C5C">
        <w:rPr>
          <w:lang w:val="sk-SK"/>
        </w:rPr>
        <w:t>Excellent</w:t>
      </w:r>
      <w:proofErr w:type="spellEnd"/>
      <w:r w:rsidRPr="00265C5C">
        <w:rPr>
          <w:lang w:val="sk-SK"/>
        </w:rPr>
        <w:t xml:space="preserve">". </w:t>
      </w:r>
      <w:r w:rsidRPr="00265C5C">
        <w:rPr>
          <w:i/>
          <w:iCs/>
          <w:lang w:val="sk-SK"/>
        </w:rPr>
        <w:t xml:space="preserve">„Vybudovanie moderného </w:t>
      </w:r>
      <w:r w:rsidR="00577110" w:rsidRPr="00577110">
        <w:rPr>
          <w:i/>
          <w:iCs/>
          <w:lang w:val="sk-SK"/>
        </w:rPr>
        <w:t xml:space="preserve">priestoru pre potreby skladovania a správy zásob </w:t>
      </w:r>
      <w:r w:rsidRPr="00265C5C">
        <w:rPr>
          <w:i/>
          <w:iCs/>
          <w:lang w:val="sk-SK"/>
        </w:rPr>
        <w:t xml:space="preserve">si vyžaduje spoľahlivú infraštruktúru </w:t>
      </w:r>
      <w:r w:rsidR="003374DE">
        <w:rPr>
          <w:i/>
          <w:iCs/>
          <w:lang w:val="sk-SK"/>
        </w:rPr>
        <w:br/>
      </w:r>
      <w:r w:rsidRPr="00265C5C">
        <w:rPr>
          <w:i/>
          <w:iCs/>
          <w:lang w:val="sk-SK"/>
        </w:rPr>
        <w:t>s ohľadom na vysoké prevádzkové nároky logistického centra a zároveň využitie ekologických a energeticky efektívnych riešení</w:t>
      </w:r>
      <w:r w:rsidR="00577110">
        <w:rPr>
          <w:i/>
          <w:iCs/>
          <w:lang w:val="sk-SK"/>
        </w:rPr>
        <w:t xml:space="preserve">,“ </w:t>
      </w:r>
      <w:r w:rsidRPr="00265C5C">
        <w:rPr>
          <w:lang w:val="sk-SK"/>
        </w:rPr>
        <w:t xml:space="preserve">uviedol </w:t>
      </w:r>
      <w:r w:rsidRPr="00265C5C">
        <w:rPr>
          <w:b/>
          <w:bCs/>
          <w:lang w:val="sk-SK"/>
        </w:rPr>
        <w:t xml:space="preserve">Tomáš Kosa, riaditeľ stavebnej skupiny </w:t>
      </w:r>
      <w:r w:rsidR="003374DE">
        <w:rPr>
          <w:b/>
          <w:bCs/>
          <w:lang w:val="sk-SK"/>
        </w:rPr>
        <w:br/>
      </w:r>
      <w:r w:rsidRPr="00265C5C">
        <w:rPr>
          <w:b/>
          <w:bCs/>
          <w:lang w:val="sk-SK"/>
        </w:rPr>
        <w:t>HSF System a podpredseda predstavenstva PURPOSIA Group.</w:t>
      </w:r>
    </w:p>
    <w:p w14:paraId="1AA5C0CA" w14:textId="0930A4AA" w:rsidR="00F04B68" w:rsidRPr="00265C5C" w:rsidRDefault="00F04B68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</w:p>
    <w:p w14:paraId="4D867F4C" w14:textId="71B22A26" w:rsidR="0058128A" w:rsidRPr="00265C5C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  <w:r w:rsidRPr="00265C5C">
        <w:rPr>
          <w:lang w:val="sk-SK"/>
        </w:rPr>
        <w:t xml:space="preserve">K efektívnemu odbavovaniu nákladných vozidiel prispeje 31 sekčných brán s nakladacími mostíkmi a tri brány DRIVE-IN. Použitie špeciálnych </w:t>
      </w:r>
      <w:proofErr w:type="spellStart"/>
      <w:r w:rsidRPr="00265C5C">
        <w:rPr>
          <w:lang w:val="sk-SK"/>
        </w:rPr>
        <w:t>side-loading</w:t>
      </w:r>
      <w:proofErr w:type="spellEnd"/>
      <w:r w:rsidRPr="00265C5C">
        <w:rPr>
          <w:lang w:val="sk-SK"/>
        </w:rPr>
        <w:t xml:space="preserve"> riešení umožňuje bočné nakladanie a vykladanie materiálov, čím sa zvyšuje efektivita logistických procesov. Využitie 62 strešných svetlíkov zároveň prináša do objektu dostatok denného svetla a znižuje jeho energetickú náročnosť. Objekt je vybavený ESFR sprinklerovým systémom a systémom odvodu dymu, ktoré zabezpečujú maximálnu bezpečnosť.</w:t>
      </w:r>
      <w:r w:rsidR="00DB484E">
        <w:rPr>
          <w:lang w:val="sk-SK"/>
        </w:rPr>
        <w:t xml:space="preserve"> </w:t>
      </w:r>
      <w:r w:rsidR="00DB484E" w:rsidRPr="007F3F5B">
        <w:rPr>
          <w:i/>
          <w:iCs/>
          <w:lang w:val="sk-SK"/>
        </w:rPr>
        <w:t>„</w:t>
      </w:r>
      <w:r w:rsidR="00F21620" w:rsidRPr="00F21620">
        <w:rPr>
          <w:i/>
          <w:iCs/>
          <w:lang w:val="sk-SK"/>
        </w:rPr>
        <w:t xml:space="preserve">Spoločnosť </w:t>
      </w:r>
      <w:proofErr w:type="spellStart"/>
      <w:r w:rsidR="00F21620" w:rsidRPr="00F21620">
        <w:rPr>
          <w:i/>
          <w:iCs/>
          <w:lang w:val="sk-SK"/>
        </w:rPr>
        <w:t>Panattoni</w:t>
      </w:r>
      <w:proofErr w:type="spellEnd"/>
      <w:r w:rsidR="00F21620" w:rsidRPr="00F21620">
        <w:rPr>
          <w:i/>
          <w:iCs/>
          <w:lang w:val="sk-SK"/>
        </w:rPr>
        <w:t xml:space="preserve"> je lídrom </w:t>
      </w:r>
      <w:r w:rsidR="003374DE">
        <w:rPr>
          <w:i/>
          <w:iCs/>
          <w:lang w:val="sk-SK"/>
        </w:rPr>
        <w:br/>
      </w:r>
      <w:r w:rsidR="00F21620" w:rsidRPr="00F21620">
        <w:rPr>
          <w:i/>
          <w:iCs/>
          <w:lang w:val="sk-SK"/>
        </w:rPr>
        <w:t>v oblasti udržateľnej priemyselnej výstavby na európskom trhu, takže sme v tomto projekte mohli využiť aj naše medzinárodné know-how</w:t>
      </w:r>
      <w:r w:rsidR="00F21620">
        <w:rPr>
          <w:i/>
          <w:iCs/>
          <w:lang w:val="sk-SK"/>
        </w:rPr>
        <w:t xml:space="preserve">. Hovorím </w:t>
      </w:r>
      <w:r w:rsidR="00F21620" w:rsidRPr="00F21620">
        <w:rPr>
          <w:i/>
          <w:iCs/>
          <w:lang w:val="sk-SK"/>
        </w:rPr>
        <w:t xml:space="preserve">napríklad </w:t>
      </w:r>
      <w:r w:rsidR="00F21620">
        <w:rPr>
          <w:i/>
          <w:iCs/>
          <w:lang w:val="sk-SK"/>
        </w:rPr>
        <w:t xml:space="preserve">o </w:t>
      </w:r>
      <w:r w:rsidR="00F21620" w:rsidRPr="00F21620">
        <w:rPr>
          <w:i/>
          <w:iCs/>
          <w:lang w:val="sk-SK"/>
        </w:rPr>
        <w:t>výsledk</w:t>
      </w:r>
      <w:r w:rsidR="00F21620">
        <w:rPr>
          <w:i/>
          <w:iCs/>
          <w:lang w:val="sk-SK"/>
        </w:rPr>
        <w:t>och</w:t>
      </w:r>
      <w:r w:rsidR="00F21620" w:rsidRPr="00F21620">
        <w:rPr>
          <w:i/>
          <w:iCs/>
          <w:lang w:val="sk-SK"/>
        </w:rPr>
        <w:t xml:space="preserve"> výskumu, ktorý potvrdil, že svetlá fasáda výrazne prispieva k zlepšeniu mikroklímy. Vďaka tejto inovácii má budova úplne bielu fasádu, ktorá v letných mesiacoch znižuje teplotu vo vnútri budovy až </w:t>
      </w:r>
      <w:r w:rsidR="003374DE">
        <w:rPr>
          <w:i/>
          <w:iCs/>
          <w:lang w:val="sk-SK"/>
        </w:rPr>
        <w:br/>
      </w:r>
      <w:r w:rsidR="00F21620" w:rsidRPr="00F21620">
        <w:rPr>
          <w:i/>
          <w:iCs/>
          <w:lang w:val="sk-SK"/>
        </w:rPr>
        <w:t>o 7 °C. Kombinácia svetlých povrchov a optimalizovanej zelene na fasáde znižuje pocitovú teplotu až o 20 % v porovnaní s pôvodnou nezastavanou plochou</w:t>
      </w:r>
      <w:r w:rsidR="00DB484E" w:rsidRPr="007F3F5B">
        <w:rPr>
          <w:i/>
          <w:iCs/>
          <w:lang w:val="sk-SK"/>
        </w:rPr>
        <w:t>,“</w:t>
      </w:r>
      <w:r w:rsidR="00DB484E">
        <w:rPr>
          <w:lang w:val="sk-SK"/>
        </w:rPr>
        <w:t xml:space="preserve"> dop</w:t>
      </w:r>
      <w:r w:rsidR="00F21620">
        <w:rPr>
          <w:lang w:val="sk-SK"/>
        </w:rPr>
        <w:t>ĺ</w:t>
      </w:r>
      <w:r w:rsidR="00DB484E">
        <w:rPr>
          <w:lang w:val="sk-SK"/>
        </w:rPr>
        <w:t>ň</w:t>
      </w:r>
      <w:r w:rsidR="00F21620">
        <w:rPr>
          <w:lang w:val="sk-SK"/>
        </w:rPr>
        <w:t>a</w:t>
      </w:r>
      <w:r w:rsidR="00DB484E">
        <w:rPr>
          <w:lang w:val="sk-SK"/>
        </w:rPr>
        <w:t xml:space="preserve"> </w:t>
      </w:r>
      <w:r w:rsidR="00DB484E" w:rsidRPr="00DB484E">
        <w:rPr>
          <w:b/>
          <w:bCs/>
          <w:lang w:val="sk-SK"/>
        </w:rPr>
        <w:t xml:space="preserve">Marián Fridrich, </w:t>
      </w:r>
      <w:proofErr w:type="spellStart"/>
      <w:r w:rsidR="00DB484E" w:rsidRPr="00DB484E">
        <w:rPr>
          <w:b/>
          <w:bCs/>
          <w:lang w:val="sk-SK"/>
        </w:rPr>
        <w:t>Development</w:t>
      </w:r>
      <w:proofErr w:type="spellEnd"/>
      <w:r w:rsidR="00DB484E" w:rsidRPr="00DB484E">
        <w:rPr>
          <w:b/>
          <w:bCs/>
          <w:lang w:val="sk-SK"/>
        </w:rPr>
        <w:t xml:space="preserve"> </w:t>
      </w:r>
      <w:proofErr w:type="spellStart"/>
      <w:r w:rsidR="00DB484E" w:rsidRPr="00DB484E">
        <w:rPr>
          <w:b/>
          <w:bCs/>
          <w:lang w:val="sk-SK"/>
        </w:rPr>
        <w:t>Director</w:t>
      </w:r>
      <w:proofErr w:type="spellEnd"/>
      <w:r w:rsidR="00DB484E" w:rsidRPr="00DB484E">
        <w:rPr>
          <w:b/>
          <w:bCs/>
          <w:lang w:val="sk-SK"/>
        </w:rPr>
        <w:t xml:space="preserve"> spol</w:t>
      </w:r>
      <w:r w:rsidR="00F21620">
        <w:rPr>
          <w:b/>
          <w:bCs/>
          <w:lang w:val="sk-SK"/>
        </w:rPr>
        <w:t>o</w:t>
      </w:r>
      <w:r w:rsidR="00DB484E" w:rsidRPr="00DB484E">
        <w:rPr>
          <w:b/>
          <w:bCs/>
          <w:lang w:val="sk-SK"/>
        </w:rPr>
        <w:t xml:space="preserve">čnosti </w:t>
      </w:r>
      <w:proofErr w:type="spellStart"/>
      <w:r w:rsidR="00DB484E" w:rsidRPr="00DB484E">
        <w:rPr>
          <w:b/>
          <w:bCs/>
          <w:lang w:val="sk-SK"/>
        </w:rPr>
        <w:t>Panattoni</w:t>
      </w:r>
      <w:proofErr w:type="spellEnd"/>
      <w:r w:rsidR="00DB484E" w:rsidRPr="00DB484E">
        <w:rPr>
          <w:b/>
          <w:bCs/>
          <w:lang w:val="sk-SK"/>
        </w:rPr>
        <w:t xml:space="preserve"> pro Slovensko</w:t>
      </w:r>
      <w:r w:rsidR="00DB484E" w:rsidRPr="007F3F5B">
        <w:rPr>
          <w:lang w:val="sk-SK"/>
        </w:rPr>
        <w:t>.</w:t>
      </w:r>
    </w:p>
    <w:p w14:paraId="3348117D" w14:textId="77777777" w:rsidR="007F42F5" w:rsidRPr="00265C5C" w:rsidRDefault="007F42F5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</w:p>
    <w:bookmarkEnd w:id="0"/>
    <w:bookmarkEnd w:id="2"/>
    <w:p w14:paraId="4CCC6939" w14:textId="7357284E" w:rsidR="00AE6D57" w:rsidRPr="00265C5C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lang w:val="sk-SK"/>
        </w:rPr>
      </w:pPr>
      <w:r w:rsidRPr="00265C5C">
        <w:rPr>
          <w:lang w:val="sk-SK"/>
        </w:rPr>
        <w:t xml:space="preserve">Areál využíva retenčnú nádrž, zavlažovací systém a podporuje biodiverzitu prostredníctvom zón pre voľne žijúce zvieratá, hmyzích hotelov a vtáčích či netopierích búdok. Dôraz </w:t>
      </w:r>
      <w:r w:rsidR="003374DE">
        <w:rPr>
          <w:lang w:val="sk-SK"/>
        </w:rPr>
        <w:br/>
      </w:r>
      <w:r w:rsidRPr="00265C5C">
        <w:rPr>
          <w:lang w:val="sk-SK"/>
        </w:rPr>
        <w:t xml:space="preserve">na udržateľnosť potvrdzuje aj plánované využitie solárnych panelov, dažďových záhrad </w:t>
      </w:r>
      <w:r w:rsidR="003374DE">
        <w:rPr>
          <w:lang w:val="sk-SK"/>
        </w:rPr>
        <w:br/>
      </w:r>
      <w:r w:rsidRPr="00265C5C">
        <w:rPr>
          <w:lang w:val="sk-SK"/>
        </w:rPr>
        <w:t>a kvetnatých lúk.</w:t>
      </w:r>
      <w:r w:rsidR="0055127F" w:rsidRPr="0055127F">
        <w:rPr>
          <w:lang w:val="sk-SK"/>
        </w:rPr>
        <w:t xml:space="preserve"> </w:t>
      </w:r>
      <w:r w:rsidR="0055127F" w:rsidRPr="00265C5C">
        <w:rPr>
          <w:lang w:val="sk-SK"/>
        </w:rPr>
        <w:t xml:space="preserve">V rámci ekologických opatrení vzniklo </w:t>
      </w:r>
      <w:r w:rsidR="0055127F">
        <w:rPr>
          <w:lang w:val="sk-SK"/>
        </w:rPr>
        <w:t xml:space="preserve">tiež </w:t>
      </w:r>
      <w:proofErr w:type="spellStart"/>
      <w:r w:rsidR="0055127F" w:rsidRPr="00265C5C">
        <w:rPr>
          <w:lang w:val="sk-SK"/>
        </w:rPr>
        <w:t>workoutové</w:t>
      </w:r>
      <w:proofErr w:type="spellEnd"/>
      <w:r w:rsidR="0055127F" w:rsidRPr="00265C5C">
        <w:rPr>
          <w:lang w:val="sk-SK"/>
        </w:rPr>
        <w:t xml:space="preserve"> ihrisko, relaxačná zóna a bola vysadená nová zeleň.</w:t>
      </w:r>
    </w:p>
    <w:p w14:paraId="375CAA66" w14:textId="77777777" w:rsidR="0058128A" w:rsidRPr="00EF6142" w:rsidRDefault="0058128A" w:rsidP="0018667F">
      <w:pPr>
        <w:pStyle w:val="Zkladntext31"/>
        <w:pBdr>
          <w:top w:val="none" w:sz="0" w:space="7" w:color="000000"/>
        </w:pBdr>
        <w:spacing w:line="240" w:lineRule="auto"/>
        <w:rPr>
          <w:rFonts w:cs="Arial"/>
          <w:lang w:val="sk-SK"/>
        </w:rPr>
      </w:pPr>
    </w:p>
    <w:p w14:paraId="4544068F" w14:textId="5AAA482A" w:rsidR="00DD7316" w:rsidRPr="00265C5C" w:rsidRDefault="0058128A" w:rsidP="001866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 w:rsidRPr="00EF6142">
        <w:rPr>
          <w:rFonts w:ascii="Arial" w:hAnsi="Arial" w:cs="Arial"/>
          <w:sz w:val="22"/>
          <w:szCs w:val="22"/>
        </w:rPr>
        <w:t xml:space="preserve">Moderný priemyselný areál </w:t>
      </w:r>
      <w:proofErr w:type="spellStart"/>
      <w:r w:rsidRPr="00EF6142">
        <w:rPr>
          <w:rFonts w:ascii="Arial" w:hAnsi="Arial" w:cs="Arial"/>
          <w:sz w:val="22"/>
          <w:szCs w:val="22"/>
        </w:rPr>
        <w:t>Panattoni</w:t>
      </w:r>
      <w:proofErr w:type="spellEnd"/>
      <w:r w:rsidRPr="00EF6142">
        <w:rPr>
          <w:rFonts w:ascii="Arial" w:hAnsi="Arial" w:cs="Arial"/>
          <w:sz w:val="22"/>
          <w:szCs w:val="22"/>
        </w:rPr>
        <w:t xml:space="preserve"> Park Bratislava North II v blízkosti diaľnice D2 </w:t>
      </w:r>
      <w:r w:rsidR="003374DE">
        <w:rPr>
          <w:rFonts w:ascii="Arial" w:hAnsi="Arial" w:cs="Arial"/>
          <w:sz w:val="22"/>
          <w:szCs w:val="22"/>
        </w:rPr>
        <w:br/>
      </w:r>
      <w:r w:rsidRPr="00EF6142">
        <w:rPr>
          <w:rFonts w:ascii="Arial" w:hAnsi="Arial" w:cs="Arial"/>
          <w:sz w:val="22"/>
          <w:szCs w:val="22"/>
        </w:rPr>
        <w:t>pri Lozorne ponúka nové možnosti pre logistiku, e-</w:t>
      </w:r>
      <w:proofErr w:type="spellStart"/>
      <w:r w:rsidRPr="00EF6142">
        <w:rPr>
          <w:rFonts w:ascii="Arial" w:hAnsi="Arial" w:cs="Arial"/>
          <w:sz w:val="22"/>
          <w:szCs w:val="22"/>
        </w:rPr>
        <w:t>commerce</w:t>
      </w:r>
      <w:proofErr w:type="spellEnd"/>
      <w:r w:rsidRPr="00EF6142">
        <w:rPr>
          <w:rFonts w:ascii="Arial" w:hAnsi="Arial" w:cs="Arial"/>
          <w:sz w:val="22"/>
          <w:szCs w:val="22"/>
        </w:rPr>
        <w:t xml:space="preserve"> a ľahkú výrobu. Prvý dokončený objekt je súčasťou plánovaného komplexu troch budov kategórie </w:t>
      </w:r>
      <w:r w:rsidR="00D63A35" w:rsidRPr="00EF6142">
        <w:rPr>
          <w:rFonts w:ascii="Arial" w:hAnsi="Arial" w:cs="Arial"/>
          <w:sz w:val="22"/>
          <w:szCs w:val="22"/>
        </w:rPr>
        <w:t>„</w:t>
      </w:r>
      <w:r w:rsidRPr="00EF6142">
        <w:rPr>
          <w:rFonts w:ascii="Arial" w:hAnsi="Arial" w:cs="Arial"/>
          <w:sz w:val="22"/>
          <w:szCs w:val="22"/>
        </w:rPr>
        <w:t>A-</w:t>
      </w:r>
      <w:proofErr w:type="spellStart"/>
      <w:r w:rsidRPr="00EF6142">
        <w:rPr>
          <w:rFonts w:ascii="Arial" w:hAnsi="Arial" w:cs="Arial"/>
          <w:sz w:val="22"/>
          <w:szCs w:val="22"/>
        </w:rPr>
        <w:t>class</w:t>
      </w:r>
      <w:proofErr w:type="spellEnd"/>
      <w:r w:rsidR="00D63A35" w:rsidRPr="00EF6142">
        <w:rPr>
          <w:rFonts w:ascii="Arial" w:hAnsi="Arial" w:cs="Arial"/>
          <w:sz w:val="22"/>
          <w:szCs w:val="22"/>
        </w:rPr>
        <w:t>“</w:t>
      </w:r>
      <w:r w:rsidRPr="00EF6142">
        <w:rPr>
          <w:rFonts w:ascii="Arial" w:hAnsi="Arial" w:cs="Arial"/>
          <w:sz w:val="22"/>
          <w:szCs w:val="22"/>
        </w:rPr>
        <w:t xml:space="preserve"> s celkovou prenajímateľnou plochou presahujúcou 46 000 m². 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 xml:space="preserve">„Vstup na bratislavský trh pre nás predstavuje dôležitý krok nielen v rámci rozvoja na Slovensku, ale aj v celom stredoeurópskom regióne. O to viac si ceníme skutočnosť, že naším </w:t>
      </w:r>
      <w:r w:rsidR="004A305F" w:rsidRPr="00EF6142">
        <w:rPr>
          <w:rFonts w:ascii="Arial" w:hAnsi="Arial" w:cs="Arial"/>
          <w:i/>
          <w:iCs/>
          <w:sz w:val="22"/>
          <w:szCs w:val="22"/>
        </w:rPr>
        <w:t xml:space="preserve">novým 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 xml:space="preserve">nájomcom je </w:t>
      </w:r>
      <w:r w:rsidR="006A54ED" w:rsidRPr="00EF6142">
        <w:rPr>
          <w:rFonts w:ascii="Arial" w:hAnsi="Arial" w:cs="Arial"/>
          <w:i/>
          <w:iCs/>
          <w:sz w:val="22"/>
          <w:szCs w:val="22"/>
        </w:rPr>
        <w:t xml:space="preserve">tu </w:t>
      </w:r>
      <w:r w:rsidR="004A305F" w:rsidRPr="00EF6142">
        <w:rPr>
          <w:rFonts w:ascii="Arial" w:hAnsi="Arial" w:cs="Arial"/>
          <w:i/>
          <w:iCs/>
          <w:sz w:val="22"/>
          <w:szCs w:val="22"/>
        </w:rPr>
        <w:t xml:space="preserve">jeden z 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>globálny</w:t>
      </w:r>
      <w:r w:rsidR="004A305F" w:rsidRPr="00EF6142">
        <w:rPr>
          <w:rFonts w:ascii="Arial" w:hAnsi="Arial" w:cs="Arial"/>
          <w:i/>
          <w:iCs/>
          <w:sz w:val="22"/>
          <w:szCs w:val="22"/>
        </w:rPr>
        <w:t>ch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 xml:space="preserve"> líd</w:t>
      </w:r>
      <w:r w:rsidR="004A305F" w:rsidRPr="00EF6142">
        <w:rPr>
          <w:rFonts w:ascii="Arial" w:hAnsi="Arial" w:cs="Arial"/>
          <w:i/>
          <w:iCs/>
          <w:sz w:val="22"/>
          <w:szCs w:val="22"/>
        </w:rPr>
        <w:t>rov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 xml:space="preserve"> automobilového priemyslu</w:t>
      </w:r>
      <w:r w:rsidR="004A305F" w:rsidRPr="00EF6142">
        <w:rPr>
          <w:rFonts w:ascii="Arial" w:hAnsi="Arial" w:cs="Arial"/>
          <w:i/>
          <w:iCs/>
          <w:sz w:val="22"/>
          <w:szCs w:val="22"/>
        </w:rPr>
        <w:t xml:space="preserve">. </w:t>
      </w:r>
      <w:r w:rsidR="0053391E" w:rsidRPr="00EF6142">
        <w:rPr>
          <w:rFonts w:ascii="Arial" w:hAnsi="Arial" w:cs="Arial"/>
          <w:i/>
          <w:iCs/>
          <w:sz w:val="22"/>
          <w:szCs w:val="22"/>
        </w:rPr>
        <w:t xml:space="preserve">Sme radi, že tejto prestížnej spoločnosti môžeme poskytnúť prvotriedne udržateľné zázemie, ktoré zodpovedá jej vysokým nárokom na efektivitu </w:t>
      </w:r>
      <w:r w:rsidR="003374DE">
        <w:rPr>
          <w:rFonts w:ascii="Arial" w:hAnsi="Arial" w:cs="Arial"/>
          <w:i/>
          <w:iCs/>
          <w:sz w:val="22"/>
          <w:szCs w:val="22"/>
        </w:rPr>
        <w:br/>
      </w:r>
      <w:r w:rsidR="0053391E" w:rsidRPr="00EF6142">
        <w:rPr>
          <w:rFonts w:ascii="Arial" w:hAnsi="Arial" w:cs="Arial"/>
          <w:i/>
          <w:iCs/>
          <w:sz w:val="22"/>
          <w:szCs w:val="22"/>
        </w:rPr>
        <w:t>aj ekológiu prevádzky,“</w:t>
      </w:r>
      <w:r w:rsidR="0053391E" w:rsidRPr="00EF6142">
        <w:rPr>
          <w:rFonts w:ascii="Arial" w:hAnsi="Arial" w:cs="Arial"/>
          <w:sz w:val="22"/>
          <w:szCs w:val="22"/>
        </w:rPr>
        <w:t xml:space="preserve"> uviedol </w:t>
      </w:r>
      <w:r w:rsidR="0053391E" w:rsidRPr="00EF6142">
        <w:rPr>
          <w:rFonts w:ascii="Arial" w:hAnsi="Arial" w:cs="Arial"/>
          <w:b/>
          <w:bCs/>
          <w:sz w:val="22"/>
          <w:szCs w:val="22"/>
        </w:rPr>
        <w:t xml:space="preserve">Jiří </w:t>
      </w:r>
      <w:proofErr w:type="spellStart"/>
      <w:r w:rsidR="0053391E" w:rsidRPr="00EF6142">
        <w:rPr>
          <w:rFonts w:ascii="Arial" w:hAnsi="Arial" w:cs="Arial"/>
          <w:b/>
          <w:bCs/>
          <w:sz w:val="22"/>
          <w:szCs w:val="22"/>
        </w:rPr>
        <w:t>Stránský</w:t>
      </w:r>
      <w:proofErr w:type="spellEnd"/>
      <w:r w:rsidR="0053391E" w:rsidRPr="00EF614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53391E" w:rsidRPr="00EF6142">
        <w:rPr>
          <w:rFonts w:ascii="Arial" w:hAnsi="Arial" w:cs="Arial"/>
          <w:b/>
          <w:bCs/>
          <w:sz w:val="22"/>
          <w:szCs w:val="22"/>
        </w:rPr>
        <w:t>Head</w:t>
      </w:r>
      <w:proofErr w:type="spellEnd"/>
      <w:r w:rsidR="0053391E" w:rsidRPr="00EF6142">
        <w:rPr>
          <w:rFonts w:ascii="Arial" w:hAnsi="Arial" w:cs="Arial"/>
          <w:b/>
          <w:bCs/>
          <w:sz w:val="22"/>
          <w:szCs w:val="22"/>
        </w:rPr>
        <w:t xml:space="preserve"> of </w:t>
      </w:r>
      <w:proofErr w:type="spellStart"/>
      <w:r w:rsidR="0053391E" w:rsidRPr="00EF6142">
        <w:rPr>
          <w:rFonts w:ascii="Arial" w:hAnsi="Arial" w:cs="Arial"/>
          <w:b/>
          <w:bCs/>
          <w:sz w:val="22"/>
          <w:szCs w:val="22"/>
        </w:rPr>
        <w:t>Development</w:t>
      </w:r>
      <w:proofErr w:type="spellEnd"/>
      <w:r w:rsidR="0053391E" w:rsidRPr="00EF6142">
        <w:rPr>
          <w:rFonts w:ascii="Arial" w:hAnsi="Arial" w:cs="Arial"/>
          <w:b/>
          <w:bCs/>
          <w:sz w:val="22"/>
          <w:szCs w:val="22"/>
        </w:rPr>
        <w:t xml:space="preserve"> v Accolade</w:t>
      </w:r>
      <w:r w:rsidR="0053391E" w:rsidRPr="00EF6142">
        <w:rPr>
          <w:rFonts w:ascii="Arial" w:hAnsi="Arial" w:cs="Arial"/>
          <w:sz w:val="22"/>
          <w:szCs w:val="22"/>
        </w:rPr>
        <w:t>.</w:t>
      </w:r>
      <w:r w:rsidR="00DD7316" w:rsidRPr="00265C5C">
        <w:br w:type="page"/>
      </w:r>
    </w:p>
    <w:p w14:paraId="2258F087" w14:textId="52D06AE0" w:rsidR="00F87031" w:rsidRPr="00265C5C" w:rsidRDefault="00F87031" w:rsidP="00226587">
      <w:pPr>
        <w:pStyle w:val="Zkladntext31"/>
        <w:pBdr>
          <w:top w:val="none" w:sz="0" w:space="7" w:color="000000"/>
        </w:pBdr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265C5C">
        <w:rPr>
          <w:rFonts w:cs="Arial"/>
          <w:sz w:val="18"/>
          <w:szCs w:val="18"/>
          <w:lang w:val="sk-SK"/>
        </w:rPr>
        <w:lastRenderedPageBreak/>
        <w:t>-----------------------------------------------------------------------------------------------------------------------</w:t>
      </w:r>
      <w:r w:rsidR="00BC2AD2" w:rsidRPr="00265C5C">
        <w:rPr>
          <w:rFonts w:cs="Arial"/>
          <w:sz w:val="18"/>
          <w:szCs w:val="18"/>
          <w:lang w:val="sk-SK"/>
        </w:rPr>
        <w:t>-------------------------------</w:t>
      </w:r>
    </w:p>
    <w:bookmarkEnd w:id="1"/>
    <w:p w14:paraId="5FA75AA0" w14:textId="77777777" w:rsidR="0058128A" w:rsidRPr="00265C5C" w:rsidRDefault="0058128A" w:rsidP="00581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265C5C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Stavebná skupina HSF System</w:t>
      </w:r>
    </w:p>
    <w:p w14:paraId="324C92DA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Medzinárodnú stavebnú skupinu HSF System z investičnej skupiny </w:t>
      </w:r>
      <w:r w:rsidRPr="00265C5C">
        <w:rPr>
          <w:rFonts w:ascii="Arial" w:hAnsi="Arial" w:cs="Arial"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tvorí česká stavebná spoločnosť HSF System (založená v roku 2002) so sídlom v Ostrave, slovenská stavebná spoločnosť HSF System SK (založená v roku 2010) so sídlom v Žiline a rakúska stavebná spoločnosť HSF System AT so sídlom v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Enzesfelde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2024). Stavebná skupina HSF System má ďalšie pobočky v Prahe, Brne, Plzni, Bratislave, Prešove a Nitre. Zameriava sa na generálne dodávky stavieb, projektové a inžinierske práce a kompletné strešné a obvodové plášte objektov vrátane ich rekonštrukcií.</w:t>
      </w:r>
    </w:p>
    <w:p w14:paraId="3EAA9029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0693C01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Spoločnosť </w:t>
      </w:r>
      <w:r w:rsidRPr="00265C5C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HSF System SK</w:t>
      </w: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sa opakovane umiestnila medzi poprednými stavebnými spoločnosťami na Slovensku v rebríčkoch TREND Top 100 a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ocenenie ASB GALA 2024 v hlasovaní verejnosti a ocenenie Slovakia Best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pre najlepšie riadené slovenské súkromné spoločnosti. Riaditeľ HSF System SK Tomáš Kosa sa dostal medzi šesť finalistov prestížneho ocenenia EY Podnikateľ roka 2022 na Slovensku. Viac na </w:t>
      </w:r>
      <w:hyperlink r:id="rId8" w:history="1">
        <w:r w:rsidRPr="00265C5C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www.hsfsystem.sk</w:t>
        </w:r>
      </w:hyperlink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502FB44D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124C1D1" w14:textId="06DAC1B9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Stavebná spoločnosť </w:t>
      </w:r>
      <w:r w:rsidRPr="00265C5C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HSF System</w:t>
      </w:r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absolútne víťazstvo v Národnej cene ČR za spoločenskú zodpovednosť a udržateľný rozvoj v kategórii súkromný sektor za rok 2023, prestížnu Národnú cenu kvality Českej republiky, program Excelencia 2024, je držiteľom Ceny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hejtmana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MS kraja za spoločenskú zodpovednosť za rok 2022 a 2020 v kategórii firiem do 250 zamestnancov a získala ocenenie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Czech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rokoch 2023 a 2024. V hodnotení Nadácie pre rozvoj architektúry a stavebníctva RABF 2019–2023 sa spoločnosť HSF System umiestnila na 7. mieste z 1496 hodnotených stavebných firiem v ČR. HSF System získala aj prestížny titul Stavba roka 2020. Generálny riaditeľ spoločnosti Jan Hasík je držiteľom ocenenia EY Podnikateľ roka 2016 a 2023 </w:t>
      </w:r>
      <w:proofErr w:type="spellStart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Moravskosliezskeho</w:t>
      </w:r>
      <w:proofErr w:type="spellEnd"/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kraja. Viac na </w:t>
      </w:r>
      <w:hyperlink r:id="rId9" w:history="1">
        <w:r w:rsidRPr="00265C5C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www.hsfsystem.cz</w:t>
        </w:r>
      </w:hyperlink>
      <w:r w:rsidRPr="00265C5C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0A2C5296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168E7EE" w14:textId="77777777" w:rsidR="0058128A" w:rsidRPr="00265C5C" w:rsidRDefault="0058128A" w:rsidP="0058128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0969272" w14:textId="77777777" w:rsidR="0058128A" w:rsidRPr="00265C5C" w:rsidRDefault="0058128A" w:rsidP="0058128A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65C5C">
        <w:rPr>
          <w:rFonts w:ascii="Arial" w:hAnsi="Arial" w:cs="Arial"/>
          <w:b/>
          <w:bCs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265C5C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7B7CD1FD" w14:textId="1689782B" w:rsidR="0058128A" w:rsidRPr="00265C5C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  <w:r w:rsidRPr="00265C5C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je jedna z popredných európskych investičných skupín s českými koreňmi, ktorá v roku 2023 vznikla ako holdingová štruktúra okolo</w:t>
      </w:r>
      <w:r w:rsidR="00D74B0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stavebných firiem HSF System v Česku a na Slovensku a ďalších spoločností prevažne z oblasti stavebníctva. História firiem tvoriacich investičnú skupinu </w:t>
      </w:r>
      <w:r w:rsidRPr="00265C5C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siaha do roku 2002, keď ich hlavnou špecializáciou bolo kompletné strešné a fasádne opláštenie. Následne došlo k rozšíreniu aktivít na generálne dodávky stavieb.</w:t>
      </w:r>
    </w:p>
    <w:p w14:paraId="7E90C80C" w14:textId="77777777" w:rsidR="0058128A" w:rsidRPr="00265C5C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</w:p>
    <w:p w14:paraId="13577F5B" w14:textId="37945E19" w:rsidR="0058128A" w:rsidRPr="00265C5C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Skupina sa dnes zaoberá celým životným cyklom stavebných projektov – od návrhu a </w:t>
      </w:r>
      <w:proofErr w:type="spellStart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developmentu</w:t>
      </w:r>
      <w:proofErr w:type="spellEnd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cez samotnú výstavbu až po správu nehnuteľností. Do holdingu v súčasnosti patrí celkovo </w:t>
      </w:r>
      <w:r w:rsidR="0018667F">
        <w:rPr>
          <w:rFonts w:cs="Arial"/>
          <w:color w:val="auto"/>
          <w:sz w:val="18"/>
          <w:szCs w:val="18"/>
          <w:bdr w:val="nil"/>
          <w:lang w:val="sk-SK" w:eastAsia="zh-CN"/>
        </w:rPr>
        <w:t>42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firiem s ročnými tržbami viac ako 4 miliardy korún. Medzi dcérske firmy, okrem spomínanej skupiny HSF System v Česku, na Slovensku a najnovšie aj v Rakúsku, patria aj spoločnosti z developerskej skupiny ANTRACIT, ďalej SK </w:t>
      </w:r>
      <w:proofErr w:type="spellStart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Facility</w:t>
      </w:r>
      <w:proofErr w:type="spellEnd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Pruniwerk</w:t>
      </w:r>
      <w:proofErr w:type="spellEnd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floorING</w:t>
      </w:r>
      <w:proofErr w:type="spellEnd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, PREFA ONV</w:t>
      </w:r>
      <w:r w:rsidR="0018667F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>Bezecný</w:t>
      </w:r>
      <w:r w:rsidR="0018667F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a </w:t>
      </w:r>
      <w:proofErr w:type="spellStart"/>
      <w:r w:rsidR="0018667F">
        <w:rPr>
          <w:rFonts w:cs="Arial"/>
          <w:color w:val="auto"/>
          <w:sz w:val="18"/>
          <w:szCs w:val="18"/>
          <w:bdr w:val="nil"/>
          <w:lang w:val="sk-SK" w:eastAsia="zh-CN"/>
        </w:rPr>
        <w:t>Foredeck</w:t>
      </w:r>
      <w:proofErr w:type="spellEnd"/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. </w:t>
      </w:r>
      <w:r w:rsidRPr="00265C5C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pôsobí celkovo v 10 krajinách Európy. Viac o </w:t>
      </w:r>
      <w:r w:rsidRPr="00265C5C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265C5C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na </w:t>
      </w:r>
      <w:hyperlink r:id="rId10" w:history="1">
        <w:r w:rsidRPr="00265C5C">
          <w:rPr>
            <w:rStyle w:val="Hypertextovodkaz"/>
            <w:rFonts w:cs="Arial"/>
            <w:sz w:val="18"/>
            <w:szCs w:val="18"/>
            <w:bdr w:val="nil"/>
            <w:lang w:val="sk-SK" w:eastAsia="zh-CN"/>
          </w:rPr>
          <w:t>www.purposia.eu</w:t>
        </w:r>
      </w:hyperlink>
    </w:p>
    <w:p w14:paraId="1EBD7770" w14:textId="77777777" w:rsidR="0058128A" w:rsidRPr="00265C5C" w:rsidRDefault="0058128A" w:rsidP="0058128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265C5C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659BD20F" w14:textId="77777777" w:rsidR="0058128A" w:rsidRPr="00265C5C" w:rsidRDefault="0058128A" w:rsidP="0058128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65C5C">
        <w:rPr>
          <w:rFonts w:ascii="Arial" w:hAnsi="Arial" w:cs="Arial"/>
          <w:b/>
          <w:bCs/>
          <w:sz w:val="18"/>
          <w:szCs w:val="18"/>
        </w:rPr>
        <w:t xml:space="preserve">Kontakt pre médiá: </w:t>
      </w:r>
    </w:p>
    <w:p w14:paraId="25D68981" w14:textId="77777777" w:rsidR="0058128A" w:rsidRPr="00265C5C" w:rsidRDefault="0058128A" w:rsidP="0058128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5C5C">
        <w:rPr>
          <w:rFonts w:ascii="Arial" w:hAnsi="Arial" w:cs="Arial"/>
          <w:sz w:val="18"/>
          <w:szCs w:val="18"/>
        </w:rPr>
        <w:t xml:space="preserve">Lukáš Klapil, Crest Communications Ostrava, </w:t>
      </w:r>
      <w:proofErr w:type="spellStart"/>
      <w:r w:rsidRPr="00265C5C">
        <w:rPr>
          <w:rFonts w:ascii="Arial" w:hAnsi="Arial" w:cs="Arial"/>
          <w:sz w:val="18"/>
          <w:szCs w:val="18"/>
        </w:rPr>
        <w:t>Mob</w:t>
      </w:r>
      <w:proofErr w:type="spellEnd"/>
      <w:r w:rsidRPr="00265C5C">
        <w:rPr>
          <w:rFonts w:ascii="Arial" w:hAnsi="Arial" w:cs="Arial"/>
          <w:sz w:val="18"/>
          <w:szCs w:val="18"/>
        </w:rPr>
        <w:t xml:space="preserve">.: +420 603 824 194, E-mail: </w:t>
      </w:r>
      <w:r w:rsidRPr="00265C5C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p w14:paraId="0D9EA576" w14:textId="7DBD3BAD" w:rsidR="00081F21" w:rsidRPr="00C174B5" w:rsidRDefault="00081F21" w:rsidP="0058128A">
      <w:pPr>
        <w:pBdr>
          <w:top w:val="none" w:sz="0" w:space="7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hAnsi="Arial" w:cs="Arial"/>
          <w:sz w:val="18"/>
          <w:szCs w:val="18"/>
        </w:rPr>
      </w:pPr>
    </w:p>
    <w:sectPr w:rsidR="00081F21" w:rsidRPr="00C174B5" w:rsidSect="001654EB">
      <w:headerReference w:type="default" r:id="rId11"/>
      <w:footerReference w:type="even" r:id="rId12"/>
      <w:footerReference w:type="first" r:id="rId13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121F" w14:textId="77777777" w:rsidR="00C55B8D" w:rsidRPr="00265C5C" w:rsidRDefault="00C55B8D">
      <w:r w:rsidRPr="00265C5C">
        <w:separator/>
      </w:r>
    </w:p>
  </w:endnote>
  <w:endnote w:type="continuationSeparator" w:id="0">
    <w:p w14:paraId="1A1D12E2" w14:textId="77777777" w:rsidR="00C55B8D" w:rsidRPr="00265C5C" w:rsidRDefault="00C55B8D">
      <w:r w:rsidRPr="00265C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948E" w14:textId="66275CE2" w:rsidR="0012442B" w:rsidRDefault="0012442B">
    <w:pPr>
      <w:pStyle w:val="Zpa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F2336E7" wp14:editId="4901C2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91849409" name="Textové pole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7A9B" w14:textId="3B0F75CF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336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 filled="f" stroked="f">
              <v:textbox style="mso-fit-shape-to-text:t" inset="0,0,0,15pt">
                <w:txbxContent>
                  <w:p w14:paraId="43FF7A9B" w14:textId="3B0F75CF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A298" w14:textId="4658A44E" w:rsidR="0012442B" w:rsidRDefault="0012442B">
    <w:pPr>
      <w:pStyle w:val="Zpat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1A42CC9" wp14:editId="1BC39D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2006923788" name="Textové pole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D1205" w14:textId="70191976" w:rsidR="0012442B" w:rsidRPr="0012442B" w:rsidRDefault="0012442B" w:rsidP="0012442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2442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42C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 filled="f" stroked="f">
              <v:textbox style="mso-fit-shape-to-text:t" inset="0,0,0,15pt">
                <w:txbxContent>
                  <w:p w14:paraId="242D1205" w14:textId="70191976" w:rsidR="0012442B" w:rsidRPr="0012442B" w:rsidRDefault="0012442B" w:rsidP="0012442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12442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E7D4D" w14:textId="77777777" w:rsidR="00C55B8D" w:rsidRPr="00265C5C" w:rsidRDefault="00C55B8D">
      <w:r w:rsidRPr="00265C5C">
        <w:separator/>
      </w:r>
    </w:p>
  </w:footnote>
  <w:footnote w:type="continuationSeparator" w:id="0">
    <w:p w14:paraId="771504BF" w14:textId="77777777" w:rsidR="00C55B8D" w:rsidRPr="00265C5C" w:rsidRDefault="00C55B8D">
      <w:r w:rsidRPr="00265C5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265C5C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265C5C">
      <w:rPr>
        <w:b/>
        <w:bCs/>
        <w:noProof/>
        <w:sz w:val="20"/>
        <w:szCs w:val="20"/>
        <w:lang w:val="sk-SK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265C5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1B1E144B" w:rsidR="00081F21" w:rsidRPr="00265C5C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4D5679">
      <w:rPr>
        <w:b/>
        <w:bCs/>
        <w:color w:val="auto"/>
        <w:sz w:val="20"/>
        <w:szCs w:val="20"/>
        <w:lang w:val="sk-SK"/>
      </w:rPr>
      <w:t>T</w:t>
    </w:r>
    <w:r w:rsidR="0058128A" w:rsidRPr="004D5679">
      <w:rPr>
        <w:b/>
        <w:bCs/>
        <w:color w:val="auto"/>
        <w:sz w:val="20"/>
        <w:szCs w:val="20"/>
        <w:lang w:val="sk-SK"/>
      </w:rPr>
      <w:t>LAČOVÁ</w:t>
    </w:r>
    <w:r w:rsidRPr="004D5679">
      <w:rPr>
        <w:b/>
        <w:bCs/>
        <w:color w:val="auto"/>
        <w:sz w:val="20"/>
        <w:szCs w:val="20"/>
        <w:lang w:val="sk-SK"/>
      </w:rPr>
      <w:t xml:space="preserve"> </w:t>
    </w:r>
    <w:r w:rsidR="004D5679" w:rsidRPr="004D5679">
      <w:rPr>
        <w:b/>
        <w:bCs/>
        <w:color w:val="auto"/>
        <w:sz w:val="20"/>
        <w:szCs w:val="20"/>
        <w:lang w:val="sk-SK"/>
      </w:rPr>
      <w:t>S</w:t>
    </w:r>
    <w:r w:rsidRPr="004D5679">
      <w:rPr>
        <w:b/>
        <w:bCs/>
        <w:color w:val="auto"/>
        <w:sz w:val="20"/>
        <w:szCs w:val="20"/>
        <w:lang w:val="sk-SK"/>
      </w:rPr>
      <w:t>PRÁVA</w:t>
    </w:r>
    <w:r w:rsidRPr="00265C5C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3788">
    <w:abstractNumId w:val="0"/>
  </w:num>
  <w:num w:numId="2" w16cid:durableId="1454054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070020">
    <w:abstractNumId w:val="4"/>
  </w:num>
  <w:num w:numId="4" w16cid:durableId="1191527950">
    <w:abstractNumId w:val="1"/>
  </w:num>
  <w:num w:numId="5" w16cid:durableId="1423835218">
    <w:abstractNumId w:val="5"/>
  </w:num>
  <w:num w:numId="6" w16cid:durableId="1268008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59BC"/>
    <w:rsid w:val="000161FB"/>
    <w:rsid w:val="00024B56"/>
    <w:rsid w:val="000252BC"/>
    <w:rsid w:val="00026F96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51E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B83"/>
    <w:rsid w:val="000A5E25"/>
    <w:rsid w:val="000A7F0F"/>
    <w:rsid w:val="000B33A7"/>
    <w:rsid w:val="000B3812"/>
    <w:rsid w:val="000C066E"/>
    <w:rsid w:val="000C22FE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42B"/>
    <w:rsid w:val="00124C36"/>
    <w:rsid w:val="00126DE5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667F"/>
    <w:rsid w:val="00186F5B"/>
    <w:rsid w:val="00187E40"/>
    <w:rsid w:val="00192B1F"/>
    <w:rsid w:val="001A052C"/>
    <w:rsid w:val="001A1550"/>
    <w:rsid w:val="001A2F1A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6587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5C5C"/>
    <w:rsid w:val="0026737E"/>
    <w:rsid w:val="0026774B"/>
    <w:rsid w:val="002827E5"/>
    <w:rsid w:val="00283B8F"/>
    <w:rsid w:val="00284A0C"/>
    <w:rsid w:val="00285B78"/>
    <w:rsid w:val="002908C1"/>
    <w:rsid w:val="00291B45"/>
    <w:rsid w:val="002928D8"/>
    <w:rsid w:val="00294E7E"/>
    <w:rsid w:val="002963A5"/>
    <w:rsid w:val="002968A8"/>
    <w:rsid w:val="00297466"/>
    <w:rsid w:val="002A02CD"/>
    <w:rsid w:val="002A4C61"/>
    <w:rsid w:val="002A5B34"/>
    <w:rsid w:val="002A723B"/>
    <w:rsid w:val="002A7931"/>
    <w:rsid w:val="002B4EB6"/>
    <w:rsid w:val="002B762B"/>
    <w:rsid w:val="002C2A72"/>
    <w:rsid w:val="002C3725"/>
    <w:rsid w:val="002C5385"/>
    <w:rsid w:val="002C625A"/>
    <w:rsid w:val="002C7719"/>
    <w:rsid w:val="002D134E"/>
    <w:rsid w:val="002D1EE4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5FB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4DE"/>
    <w:rsid w:val="00337552"/>
    <w:rsid w:val="003407A6"/>
    <w:rsid w:val="003414F1"/>
    <w:rsid w:val="00341DC5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87EBC"/>
    <w:rsid w:val="003919DE"/>
    <w:rsid w:val="0039337F"/>
    <w:rsid w:val="003A5E3C"/>
    <w:rsid w:val="003A69B9"/>
    <w:rsid w:val="003B1219"/>
    <w:rsid w:val="003B26CD"/>
    <w:rsid w:val="003B32BC"/>
    <w:rsid w:val="003B38CF"/>
    <w:rsid w:val="003C27A2"/>
    <w:rsid w:val="003C2821"/>
    <w:rsid w:val="003C3210"/>
    <w:rsid w:val="003C4D0C"/>
    <w:rsid w:val="003C523A"/>
    <w:rsid w:val="003D14F7"/>
    <w:rsid w:val="003D4367"/>
    <w:rsid w:val="003E1E65"/>
    <w:rsid w:val="003E2181"/>
    <w:rsid w:val="003E37D5"/>
    <w:rsid w:val="003E3C28"/>
    <w:rsid w:val="003E3E36"/>
    <w:rsid w:val="003E4D03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235F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05F"/>
    <w:rsid w:val="004A3F1F"/>
    <w:rsid w:val="004A7595"/>
    <w:rsid w:val="004B0877"/>
    <w:rsid w:val="004B0AD9"/>
    <w:rsid w:val="004B62CF"/>
    <w:rsid w:val="004B7792"/>
    <w:rsid w:val="004C47FD"/>
    <w:rsid w:val="004D105F"/>
    <w:rsid w:val="004D4FB9"/>
    <w:rsid w:val="004D562B"/>
    <w:rsid w:val="004D5679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A60"/>
    <w:rsid w:val="00531B1C"/>
    <w:rsid w:val="00532C96"/>
    <w:rsid w:val="0053391E"/>
    <w:rsid w:val="00534F44"/>
    <w:rsid w:val="00540901"/>
    <w:rsid w:val="00540994"/>
    <w:rsid w:val="00543EC1"/>
    <w:rsid w:val="00546398"/>
    <w:rsid w:val="00550594"/>
    <w:rsid w:val="0055127F"/>
    <w:rsid w:val="0055342A"/>
    <w:rsid w:val="005544B5"/>
    <w:rsid w:val="0055587C"/>
    <w:rsid w:val="00561B35"/>
    <w:rsid w:val="005643FE"/>
    <w:rsid w:val="00566578"/>
    <w:rsid w:val="0056699F"/>
    <w:rsid w:val="00577110"/>
    <w:rsid w:val="00577592"/>
    <w:rsid w:val="00580A79"/>
    <w:rsid w:val="0058128A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5A73"/>
    <w:rsid w:val="0060604E"/>
    <w:rsid w:val="00610BDE"/>
    <w:rsid w:val="00613F85"/>
    <w:rsid w:val="00614D93"/>
    <w:rsid w:val="00624EFB"/>
    <w:rsid w:val="006257F1"/>
    <w:rsid w:val="00626227"/>
    <w:rsid w:val="00626483"/>
    <w:rsid w:val="0062675A"/>
    <w:rsid w:val="00626A23"/>
    <w:rsid w:val="00630568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0964"/>
    <w:rsid w:val="006709C6"/>
    <w:rsid w:val="00671B1F"/>
    <w:rsid w:val="00672992"/>
    <w:rsid w:val="00672C0B"/>
    <w:rsid w:val="00674768"/>
    <w:rsid w:val="00690898"/>
    <w:rsid w:val="00692367"/>
    <w:rsid w:val="006962AA"/>
    <w:rsid w:val="00697DCB"/>
    <w:rsid w:val="006A0516"/>
    <w:rsid w:val="006A109B"/>
    <w:rsid w:val="006A1A69"/>
    <w:rsid w:val="006A41BE"/>
    <w:rsid w:val="006A54ED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25EA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31B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136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1D9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3F5B"/>
    <w:rsid w:val="007F42F5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37532"/>
    <w:rsid w:val="0094102E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87EBE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37C5"/>
    <w:rsid w:val="00A04B6B"/>
    <w:rsid w:val="00A1046B"/>
    <w:rsid w:val="00A119E9"/>
    <w:rsid w:val="00A12CFF"/>
    <w:rsid w:val="00A1323A"/>
    <w:rsid w:val="00A20309"/>
    <w:rsid w:val="00A26FD6"/>
    <w:rsid w:val="00A31EE5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319C"/>
    <w:rsid w:val="00A65763"/>
    <w:rsid w:val="00A66B6F"/>
    <w:rsid w:val="00A7023E"/>
    <w:rsid w:val="00A70E5A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25B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57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06AF8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B53"/>
    <w:rsid w:val="00BE3E5F"/>
    <w:rsid w:val="00BE5AD8"/>
    <w:rsid w:val="00BF1FE0"/>
    <w:rsid w:val="00BF7433"/>
    <w:rsid w:val="00BF7AB7"/>
    <w:rsid w:val="00BF7EFF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B8D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30D0"/>
    <w:rsid w:val="00CD3BD1"/>
    <w:rsid w:val="00CE3D9F"/>
    <w:rsid w:val="00CE6946"/>
    <w:rsid w:val="00CE7ED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3A35"/>
    <w:rsid w:val="00D64445"/>
    <w:rsid w:val="00D65389"/>
    <w:rsid w:val="00D67634"/>
    <w:rsid w:val="00D716F2"/>
    <w:rsid w:val="00D74B04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84E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D7316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004"/>
    <w:rsid w:val="00E06C64"/>
    <w:rsid w:val="00E072EC"/>
    <w:rsid w:val="00E0746A"/>
    <w:rsid w:val="00E07574"/>
    <w:rsid w:val="00E1260B"/>
    <w:rsid w:val="00E15C68"/>
    <w:rsid w:val="00E169F1"/>
    <w:rsid w:val="00E20086"/>
    <w:rsid w:val="00E21387"/>
    <w:rsid w:val="00E2293E"/>
    <w:rsid w:val="00E2591E"/>
    <w:rsid w:val="00E3048E"/>
    <w:rsid w:val="00E3451D"/>
    <w:rsid w:val="00E35513"/>
    <w:rsid w:val="00E35B9E"/>
    <w:rsid w:val="00E35E72"/>
    <w:rsid w:val="00E40242"/>
    <w:rsid w:val="00E4025F"/>
    <w:rsid w:val="00E42379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6686"/>
    <w:rsid w:val="00EC76E6"/>
    <w:rsid w:val="00EC7D92"/>
    <w:rsid w:val="00ED159C"/>
    <w:rsid w:val="00ED2D76"/>
    <w:rsid w:val="00EE31DB"/>
    <w:rsid w:val="00EE423C"/>
    <w:rsid w:val="00EE4BEA"/>
    <w:rsid w:val="00EE6CCF"/>
    <w:rsid w:val="00EF21E7"/>
    <w:rsid w:val="00EF276D"/>
    <w:rsid w:val="00EF352D"/>
    <w:rsid w:val="00EF3B17"/>
    <w:rsid w:val="00EF6142"/>
    <w:rsid w:val="00EF745A"/>
    <w:rsid w:val="00F01BC8"/>
    <w:rsid w:val="00F02596"/>
    <w:rsid w:val="00F04B68"/>
    <w:rsid w:val="00F04FDE"/>
    <w:rsid w:val="00F05D94"/>
    <w:rsid w:val="00F068B3"/>
    <w:rsid w:val="00F07C2D"/>
    <w:rsid w:val="00F10C4F"/>
    <w:rsid w:val="00F11466"/>
    <w:rsid w:val="00F16EEE"/>
    <w:rsid w:val="00F179A9"/>
    <w:rsid w:val="00F21620"/>
    <w:rsid w:val="00F224BE"/>
    <w:rsid w:val="00F22575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E7286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3DC7A95A-CC7B-42C1-8BA2-5847F7D0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074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BD33-98B6-43C4-AA88-DB602EAD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Velčovská Veronika</cp:lastModifiedBy>
  <cp:revision>2</cp:revision>
  <cp:lastPrinted>2022-10-26T09:21:00Z</cp:lastPrinted>
  <dcterms:created xsi:type="dcterms:W3CDTF">2025-04-23T05:45:00Z</dcterms:created>
  <dcterms:modified xsi:type="dcterms:W3CDTF">2025-04-23T05:45:00Z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  <property fmtid="{D5CDD505-2E9C-101B-9397-08002B2CF9AE}" pid="9" name="ClassificationContentMarkingFooterShapeIds">
    <vt:lpwstr>779f3a0c,7caf16c1,2dd2b93e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Confidential - Not for Public Consumption or Distribution</vt:lpwstr>
  </property>
  <property fmtid="{D5CDD505-2E9C-101B-9397-08002B2CF9AE}" pid="12" name="MSIP_Label_8e19d756-792e-42a1-bcad-4cb9051ddd2d_Enabled">
    <vt:lpwstr>true</vt:lpwstr>
  </property>
  <property fmtid="{D5CDD505-2E9C-101B-9397-08002B2CF9AE}" pid="13" name="MSIP_Label_8e19d756-792e-42a1-bcad-4cb9051ddd2d_SetDate">
    <vt:lpwstr>2025-04-15T12:21:05Z</vt:lpwstr>
  </property>
  <property fmtid="{D5CDD505-2E9C-101B-9397-08002B2CF9AE}" pid="14" name="MSIP_Label_8e19d756-792e-42a1-bcad-4cb9051ddd2d_Method">
    <vt:lpwstr>Standard</vt:lpwstr>
  </property>
  <property fmtid="{D5CDD505-2E9C-101B-9397-08002B2CF9AE}" pid="15" name="MSIP_Label_8e19d756-792e-42a1-bcad-4cb9051ddd2d_Name">
    <vt:lpwstr>Confidential</vt:lpwstr>
  </property>
  <property fmtid="{D5CDD505-2E9C-101B-9397-08002B2CF9AE}" pid="16" name="MSIP_Label_8e19d756-792e-42a1-bcad-4cb9051ddd2d_SiteId">
    <vt:lpwstr>41eb501a-f671-4ce0-a5bf-b64168c3705f</vt:lpwstr>
  </property>
  <property fmtid="{D5CDD505-2E9C-101B-9397-08002B2CF9AE}" pid="17" name="MSIP_Label_8e19d756-792e-42a1-bcad-4cb9051ddd2d_ActionId">
    <vt:lpwstr>e5c698a9-2f77-461b-9f88-1250bfd6cfb8</vt:lpwstr>
  </property>
  <property fmtid="{D5CDD505-2E9C-101B-9397-08002B2CF9AE}" pid="18" name="MSIP_Label_8e19d756-792e-42a1-bcad-4cb9051ddd2d_ContentBits">
    <vt:lpwstr>2</vt:lpwstr>
  </property>
  <property fmtid="{D5CDD505-2E9C-101B-9397-08002B2CF9AE}" pid="19" name="MSIP_Label_8e19d756-792e-42a1-bcad-4cb9051ddd2d_Tag">
    <vt:lpwstr>10, 3, 0, 1</vt:lpwstr>
  </property>
</Properties>
</file>